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865" w:rsidRPr="008F6865" w:rsidRDefault="008F6865" w:rsidP="00BC2D83">
      <w:pPr>
        <w:pStyle w:val="Default"/>
        <w:rPr>
          <w:b/>
          <w:bCs/>
          <w:sz w:val="22"/>
          <w:szCs w:val="22"/>
        </w:rPr>
      </w:pPr>
      <w:r w:rsidRPr="008F6865">
        <w:rPr>
          <w:b/>
          <w:bCs/>
          <w:sz w:val="22"/>
          <w:szCs w:val="22"/>
        </w:rPr>
        <w:t xml:space="preserve">Estimated Resident Population (ERP) </w:t>
      </w:r>
    </w:p>
    <w:p w:rsidR="008F6865" w:rsidRPr="008F6865" w:rsidRDefault="008F6865" w:rsidP="00BC2D83">
      <w:pPr>
        <w:pStyle w:val="Default"/>
        <w:rPr>
          <w:sz w:val="22"/>
          <w:szCs w:val="22"/>
        </w:rPr>
      </w:pPr>
    </w:p>
    <w:p w:rsidR="008F6865" w:rsidRDefault="008F6865" w:rsidP="0055398D">
      <w:pPr>
        <w:pStyle w:val="Default"/>
        <w:rPr>
          <w:sz w:val="22"/>
          <w:szCs w:val="22"/>
        </w:rPr>
      </w:pPr>
      <w:r w:rsidRPr="008F6865">
        <w:rPr>
          <w:sz w:val="22"/>
          <w:szCs w:val="22"/>
        </w:rPr>
        <w:t xml:space="preserve">The Estimated Resident Population (ERP) </w:t>
      </w:r>
      <w:r w:rsidR="001C0400">
        <w:rPr>
          <w:sz w:val="22"/>
          <w:szCs w:val="22"/>
        </w:rPr>
        <w:t>p</w:t>
      </w:r>
      <w:r w:rsidRPr="008F6865">
        <w:rPr>
          <w:sz w:val="22"/>
          <w:szCs w:val="22"/>
        </w:rPr>
        <w:t>rofile contain</w:t>
      </w:r>
      <w:r w:rsidR="001C0400">
        <w:rPr>
          <w:sz w:val="22"/>
          <w:szCs w:val="22"/>
        </w:rPr>
        <w:t>s</w:t>
      </w:r>
      <w:r w:rsidRPr="008F6865">
        <w:rPr>
          <w:sz w:val="22"/>
          <w:szCs w:val="22"/>
        </w:rPr>
        <w:t>, for each State and Territory, ERP by five-year age group and sex as at 30 June 200</w:t>
      </w:r>
      <w:r>
        <w:rPr>
          <w:sz w:val="22"/>
          <w:szCs w:val="22"/>
        </w:rPr>
        <w:t>6</w:t>
      </w:r>
      <w:r w:rsidRPr="008F6865">
        <w:rPr>
          <w:sz w:val="22"/>
          <w:szCs w:val="22"/>
        </w:rPr>
        <w:t xml:space="preserve"> and 30 June 20</w:t>
      </w:r>
      <w:r>
        <w:rPr>
          <w:sz w:val="22"/>
          <w:szCs w:val="22"/>
        </w:rPr>
        <w:t>11</w:t>
      </w:r>
      <w:r w:rsidRPr="008F6865">
        <w:rPr>
          <w:b/>
          <w:bCs/>
          <w:sz w:val="22"/>
          <w:szCs w:val="22"/>
        </w:rPr>
        <w:t xml:space="preserve">. </w:t>
      </w:r>
      <w:r w:rsidRPr="008F6865">
        <w:rPr>
          <w:sz w:val="22"/>
          <w:szCs w:val="22"/>
        </w:rPr>
        <w:t>The data are available at t</w:t>
      </w:r>
      <w:r w:rsidR="003C2062">
        <w:rPr>
          <w:sz w:val="22"/>
          <w:szCs w:val="22"/>
        </w:rPr>
        <w:t xml:space="preserve">he following geographic levels: Australia, </w:t>
      </w:r>
      <w:r w:rsidRPr="008F6865">
        <w:rPr>
          <w:sz w:val="22"/>
          <w:szCs w:val="22"/>
        </w:rPr>
        <w:t xml:space="preserve">State/Territory, Statistical </w:t>
      </w:r>
      <w:r w:rsidR="003C2062">
        <w:rPr>
          <w:sz w:val="22"/>
          <w:szCs w:val="22"/>
        </w:rPr>
        <w:t>Area Level 2-4</w:t>
      </w:r>
      <w:r w:rsidR="0055398D">
        <w:rPr>
          <w:sz w:val="22"/>
          <w:szCs w:val="22"/>
        </w:rPr>
        <w:t>,</w:t>
      </w:r>
      <w:r w:rsidR="003C2062">
        <w:rPr>
          <w:sz w:val="22"/>
          <w:szCs w:val="22"/>
        </w:rPr>
        <w:t xml:space="preserve"> Greater Capital City Statistical Area</w:t>
      </w:r>
      <w:r w:rsidR="0055398D">
        <w:rPr>
          <w:sz w:val="22"/>
          <w:szCs w:val="22"/>
        </w:rPr>
        <w:t>, Local Government Area and Statistical Local Area.</w:t>
      </w:r>
    </w:p>
    <w:p w:rsidR="008F6865" w:rsidRPr="008F6865" w:rsidRDefault="008F6865" w:rsidP="0055398D">
      <w:pPr>
        <w:pStyle w:val="Default"/>
        <w:rPr>
          <w:sz w:val="22"/>
          <w:szCs w:val="22"/>
        </w:rPr>
      </w:pPr>
    </w:p>
    <w:p w:rsidR="008F6865" w:rsidRPr="008F6865" w:rsidRDefault="008F6865" w:rsidP="0055398D">
      <w:pPr>
        <w:pStyle w:val="Default"/>
        <w:rPr>
          <w:b/>
          <w:bCs/>
          <w:sz w:val="22"/>
          <w:szCs w:val="22"/>
        </w:rPr>
      </w:pPr>
      <w:r w:rsidRPr="008F6865">
        <w:rPr>
          <w:b/>
          <w:bCs/>
          <w:sz w:val="22"/>
          <w:szCs w:val="22"/>
        </w:rPr>
        <w:t>E01 - Estimated Resident Population, 200</w:t>
      </w:r>
      <w:r>
        <w:rPr>
          <w:b/>
          <w:bCs/>
          <w:sz w:val="22"/>
          <w:szCs w:val="22"/>
        </w:rPr>
        <w:t>6</w:t>
      </w:r>
      <w:r w:rsidRPr="008F6865">
        <w:rPr>
          <w:b/>
          <w:bCs/>
          <w:sz w:val="22"/>
          <w:szCs w:val="22"/>
        </w:rPr>
        <w:t xml:space="preserve"> and 20</w:t>
      </w:r>
      <w:r>
        <w:rPr>
          <w:b/>
          <w:bCs/>
          <w:sz w:val="22"/>
          <w:szCs w:val="22"/>
        </w:rPr>
        <w:t>11</w:t>
      </w:r>
      <w:r w:rsidRPr="008F6865">
        <w:rPr>
          <w:b/>
          <w:bCs/>
          <w:sz w:val="22"/>
          <w:szCs w:val="22"/>
        </w:rPr>
        <w:t xml:space="preserve"> </w:t>
      </w:r>
    </w:p>
    <w:p w:rsidR="008F6865" w:rsidRDefault="008F6865" w:rsidP="0055398D">
      <w:pPr>
        <w:pStyle w:val="Default"/>
        <w:rPr>
          <w:sz w:val="22"/>
          <w:szCs w:val="22"/>
        </w:rPr>
      </w:pPr>
    </w:p>
    <w:p w:rsidR="0065567F" w:rsidRPr="008F6865" w:rsidRDefault="0065567F" w:rsidP="0065567F">
      <w:pPr>
        <w:pStyle w:val="Default"/>
        <w:rPr>
          <w:sz w:val="22"/>
          <w:szCs w:val="22"/>
        </w:rPr>
      </w:pPr>
      <w:r w:rsidRPr="008F6865">
        <w:rPr>
          <w:sz w:val="22"/>
          <w:szCs w:val="22"/>
        </w:rPr>
        <w:t xml:space="preserve">The concept of </w:t>
      </w:r>
      <w:r>
        <w:rPr>
          <w:sz w:val="22"/>
          <w:szCs w:val="22"/>
        </w:rPr>
        <w:t xml:space="preserve">ERP </w:t>
      </w:r>
      <w:r w:rsidRPr="008F6865">
        <w:rPr>
          <w:sz w:val="22"/>
          <w:szCs w:val="22"/>
        </w:rPr>
        <w:t xml:space="preserve">links people to a place of usual residence within Australia. Usual residence </w:t>
      </w:r>
      <w:r>
        <w:rPr>
          <w:sz w:val="22"/>
          <w:szCs w:val="22"/>
        </w:rPr>
        <w:t xml:space="preserve">in a census year </w:t>
      </w:r>
      <w:r w:rsidRPr="008F6865">
        <w:rPr>
          <w:sz w:val="22"/>
          <w:szCs w:val="22"/>
        </w:rPr>
        <w:t xml:space="preserve">is that place where each person has lived or intends to live for six months or more </w:t>
      </w:r>
      <w:r>
        <w:rPr>
          <w:sz w:val="22"/>
          <w:szCs w:val="22"/>
        </w:rPr>
        <w:t>in that year</w:t>
      </w:r>
      <w:r w:rsidRPr="008F6865">
        <w:rPr>
          <w:sz w:val="22"/>
          <w:szCs w:val="22"/>
        </w:rPr>
        <w:t>. ERP refers to all people, regardless of nationality or citizenship, who usually live in Australia, with the exception of foreign diplomatic personnel and their families. It includes usual residents who are overseas for less than 12 months</w:t>
      </w:r>
      <w:r>
        <w:rPr>
          <w:sz w:val="22"/>
          <w:szCs w:val="22"/>
        </w:rPr>
        <w:t xml:space="preserve"> and </w:t>
      </w:r>
      <w:r w:rsidRPr="008F6865">
        <w:rPr>
          <w:sz w:val="22"/>
          <w:szCs w:val="22"/>
        </w:rPr>
        <w:t>excludes overseas visitors who are in Australia for less than 12 months.</w:t>
      </w:r>
    </w:p>
    <w:p w:rsidR="0065567F" w:rsidRPr="008F6865" w:rsidRDefault="0065567F" w:rsidP="0055398D">
      <w:pPr>
        <w:pStyle w:val="Default"/>
        <w:rPr>
          <w:sz w:val="22"/>
          <w:szCs w:val="22"/>
        </w:rPr>
      </w:pPr>
    </w:p>
    <w:p w:rsidR="008F6865" w:rsidRPr="008F6865" w:rsidRDefault="008F6865" w:rsidP="0055398D">
      <w:pPr>
        <w:pStyle w:val="Default"/>
        <w:rPr>
          <w:sz w:val="22"/>
          <w:szCs w:val="22"/>
        </w:rPr>
      </w:pPr>
      <w:r w:rsidRPr="008F6865">
        <w:rPr>
          <w:sz w:val="22"/>
          <w:szCs w:val="22"/>
        </w:rPr>
        <w:t xml:space="preserve">For census years, </w:t>
      </w:r>
      <w:r w:rsidR="001C0400">
        <w:rPr>
          <w:sz w:val="22"/>
          <w:szCs w:val="22"/>
        </w:rPr>
        <w:t xml:space="preserve">ERP is </w:t>
      </w:r>
      <w:r w:rsidRPr="008F6865">
        <w:rPr>
          <w:sz w:val="22"/>
          <w:szCs w:val="22"/>
        </w:rPr>
        <w:t xml:space="preserve">based on census counts by place of usual residence, with an allowance for net census undercount, to which are added the number of Australian residents temporarily overseas </w:t>
      </w:r>
      <w:r w:rsidR="00BC2D83">
        <w:rPr>
          <w:sz w:val="22"/>
          <w:szCs w:val="22"/>
        </w:rPr>
        <w:t xml:space="preserve">on </w:t>
      </w:r>
      <w:r w:rsidRPr="008F6865">
        <w:rPr>
          <w:sz w:val="22"/>
          <w:szCs w:val="22"/>
        </w:rPr>
        <w:t>census</w:t>
      </w:r>
      <w:r w:rsidR="00BC2D83">
        <w:rPr>
          <w:sz w:val="22"/>
          <w:szCs w:val="22"/>
        </w:rPr>
        <w:t xml:space="preserve"> night</w:t>
      </w:r>
      <w:r w:rsidRPr="008F6865">
        <w:rPr>
          <w:sz w:val="22"/>
          <w:szCs w:val="22"/>
        </w:rPr>
        <w:t xml:space="preserve">. Overseas visitors in Australia are excluded. As the census </w:t>
      </w:r>
      <w:r w:rsidR="0065567F">
        <w:rPr>
          <w:sz w:val="22"/>
          <w:szCs w:val="22"/>
        </w:rPr>
        <w:t xml:space="preserve">is </w:t>
      </w:r>
      <w:r w:rsidR="00BC2D83">
        <w:rPr>
          <w:sz w:val="22"/>
          <w:szCs w:val="22"/>
        </w:rPr>
        <w:t xml:space="preserve">not </w:t>
      </w:r>
      <w:r w:rsidRPr="008F6865">
        <w:rPr>
          <w:sz w:val="22"/>
          <w:szCs w:val="22"/>
        </w:rPr>
        <w:t xml:space="preserve">held </w:t>
      </w:r>
      <w:r w:rsidR="00BC2D83">
        <w:rPr>
          <w:sz w:val="22"/>
          <w:szCs w:val="22"/>
        </w:rPr>
        <w:t xml:space="preserve">on </w:t>
      </w:r>
      <w:r w:rsidRPr="008F6865">
        <w:rPr>
          <w:sz w:val="22"/>
          <w:szCs w:val="22"/>
        </w:rPr>
        <w:t>30 June (8 August in 2006</w:t>
      </w:r>
      <w:r w:rsidR="00672164">
        <w:rPr>
          <w:sz w:val="22"/>
          <w:szCs w:val="22"/>
        </w:rPr>
        <w:t xml:space="preserve"> and 9 August 2011</w:t>
      </w:r>
      <w:r w:rsidRPr="008F6865">
        <w:rPr>
          <w:sz w:val="22"/>
          <w:szCs w:val="22"/>
        </w:rPr>
        <w:t xml:space="preserve">), further calculations taking into account births, deaths and net migration for the intervening period are performed to obtain ERP at 30 June. </w:t>
      </w:r>
    </w:p>
    <w:p w:rsidR="008F6865" w:rsidRDefault="008F6865" w:rsidP="0055398D">
      <w:pPr>
        <w:pStyle w:val="Default"/>
        <w:rPr>
          <w:sz w:val="22"/>
          <w:szCs w:val="22"/>
        </w:rPr>
      </w:pPr>
    </w:p>
    <w:p w:rsidR="00CB3A0A" w:rsidRDefault="00CB3A0A" w:rsidP="0055398D">
      <w:pPr>
        <w:pStyle w:val="Default"/>
        <w:rPr>
          <w:sz w:val="22"/>
          <w:szCs w:val="22"/>
        </w:rPr>
      </w:pPr>
      <w:r>
        <w:rPr>
          <w:sz w:val="22"/>
          <w:szCs w:val="22"/>
        </w:rPr>
        <w:t xml:space="preserve">These estimates have been </w:t>
      </w:r>
      <w:proofErr w:type="spellStart"/>
      <w:r>
        <w:rPr>
          <w:sz w:val="22"/>
          <w:szCs w:val="22"/>
        </w:rPr>
        <w:t>confidentialis</w:t>
      </w:r>
      <w:r w:rsidR="00D930EF">
        <w:rPr>
          <w:sz w:val="22"/>
          <w:szCs w:val="22"/>
        </w:rPr>
        <w:t>ed</w:t>
      </w:r>
      <w:proofErr w:type="spellEnd"/>
      <w:r w:rsidR="00D930EF">
        <w:rPr>
          <w:sz w:val="22"/>
          <w:szCs w:val="22"/>
        </w:rPr>
        <w:t>, and include 1s and 2s. These</w:t>
      </w:r>
      <w:r>
        <w:rPr>
          <w:sz w:val="22"/>
          <w:szCs w:val="22"/>
        </w:rPr>
        <w:t xml:space="preserve"> should not be regarded as </w:t>
      </w:r>
      <w:r w:rsidR="00D930EF">
        <w:rPr>
          <w:sz w:val="22"/>
          <w:szCs w:val="22"/>
        </w:rPr>
        <w:t>actual population counts</w:t>
      </w:r>
      <w:r>
        <w:rPr>
          <w:sz w:val="22"/>
          <w:szCs w:val="22"/>
        </w:rPr>
        <w:t xml:space="preserve">, but are the result of a </w:t>
      </w:r>
      <w:proofErr w:type="spellStart"/>
      <w:r>
        <w:rPr>
          <w:sz w:val="22"/>
          <w:szCs w:val="22"/>
        </w:rPr>
        <w:t>confidentialisation</w:t>
      </w:r>
      <w:proofErr w:type="spellEnd"/>
      <w:r>
        <w:rPr>
          <w:sz w:val="22"/>
          <w:szCs w:val="22"/>
        </w:rPr>
        <w:t xml:space="preserve"> method and forced </w:t>
      </w:r>
      <w:proofErr w:type="spellStart"/>
      <w:r>
        <w:rPr>
          <w:sz w:val="22"/>
          <w:szCs w:val="22"/>
        </w:rPr>
        <w:t>additivity</w:t>
      </w:r>
      <w:proofErr w:type="spellEnd"/>
      <w:r w:rsidR="00D930EF">
        <w:rPr>
          <w:sz w:val="22"/>
          <w:szCs w:val="22"/>
        </w:rPr>
        <w:t xml:space="preserve"> being applied to the </w:t>
      </w:r>
      <w:r>
        <w:rPr>
          <w:sz w:val="22"/>
          <w:szCs w:val="22"/>
        </w:rPr>
        <w:t>or</w:t>
      </w:r>
      <w:r w:rsidR="00BC2D83">
        <w:rPr>
          <w:sz w:val="22"/>
          <w:szCs w:val="22"/>
        </w:rPr>
        <w:t>i</w:t>
      </w:r>
      <w:r>
        <w:rPr>
          <w:sz w:val="22"/>
          <w:szCs w:val="22"/>
        </w:rPr>
        <w:t>ginal value</w:t>
      </w:r>
      <w:r w:rsidR="00BC2D83">
        <w:rPr>
          <w:sz w:val="22"/>
          <w:szCs w:val="22"/>
        </w:rPr>
        <w:t>s</w:t>
      </w:r>
      <w:r w:rsidR="00D930EF">
        <w:rPr>
          <w:sz w:val="22"/>
          <w:szCs w:val="22"/>
        </w:rPr>
        <w:t>.</w:t>
      </w:r>
    </w:p>
    <w:p w:rsidR="00D930EF" w:rsidRPr="008F6865" w:rsidRDefault="00D930EF" w:rsidP="0055398D">
      <w:pPr>
        <w:pStyle w:val="Default"/>
        <w:rPr>
          <w:sz w:val="22"/>
          <w:szCs w:val="22"/>
        </w:rPr>
      </w:pPr>
    </w:p>
    <w:p w:rsidR="00F86ECF" w:rsidRPr="008F6865" w:rsidRDefault="008F6865" w:rsidP="0055398D">
      <w:pPr>
        <w:spacing w:after="0" w:line="240" w:lineRule="auto"/>
        <w:rPr>
          <w:rFonts w:ascii="Arial" w:hAnsi="Arial" w:cs="Arial"/>
        </w:rPr>
      </w:pPr>
      <w:r w:rsidRPr="008F6865">
        <w:rPr>
          <w:rFonts w:ascii="Arial" w:hAnsi="Arial" w:cs="Arial"/>
          <w:color w:val="000000"/>
        </w:rPr>
        <w:t xml:space="preserve">A more detailed explanation of the concept of ERP, as adopted by the ABS for official population estimates, is contained in </w:t>
      </w:r>
      <w:r w:rsidR="0055398D">
        <w:rPr>
          <w:rFonts w:ascii="Arial" w:hAnsi="Arial" w:cs="Arial"/>
          <w:i/>
          <w:color w:val="000000"/>
        </w:rPr>
        <w:t xml:space="preserve">Population Estimates: Concepts, Sources and Methods, 2009 </w:t>
      </w:r>
      <w:r w:rsidR="0055398D">
        <w:rPr>
          <w:rFonts w:ascii="Arial" w:hAnsi="Arial" w:cs="Arial"/>
          <w:color w:val="000000"/>
        </w:rPr>
        <w:t xml:space="preserve">(ABS cat. no. 3228.0.55.001) </w:t>
      </w:r>
      <w:r w:rsidRPr="008F6865">
        <w:rPr>
          <w:rFonts w:ascii="Arial" w:hAnsi="Arial" w:cs="Arial"/>
          <w:color w:val="000000"/>
        </w:rPr>
        <w:t xml:space="preserve">on the ABS web </w:t>
      </w:r>
      <w:r w:rsidRPr="008F20BD">
        <w:rPr>
          <w:rFonts w:ascii="Arial" w:hAnsi="Arial" w:cs="Arial"/>
          <w:color w:val="000000"/>
        </w:rPr>
        <w:t>site &lt;</w:t>
      </w:r>
      <w:hyperlink r:id="rId5" w:history="1">
        <w:r w:rsidR="00672164" w:rsidRPr="00FA5A74">
          <w:rPr>
            <w:rStyle w:val="Hyperlink"/>
            <w:rFonts w:ascii="Arial" w:hAnsi="Arial" w:cs="Arial"/>
          </w:rPr>
          <w:t>http://www.abs.gov.au</w:t>
        </w:r>
      </w:hyperlink>
      <w:r w:rsidRPr="008F20BD">
        <w:rPr>
          <w:rFonts w:ascii="Arial" w:hAnsi="Arial" w:cs="Arial"/>
          <w:bCs/>
        </w:rPr>
        <w:t>&gt;</w:t>
      </w:r>
      <w:r w:rsidRPr="008F20BD">
        <w:rPr>
          <w:rFonts w:ascii="Arial" w:hAnsi="Arial" w:cs="Arial"/>
        </w:rPr>
        <w:t>.</w:t>
      </w:r>
    </w:p>
    <w:p w:rsidR="008F6865" w:rsidRPr="008F6865" w:rsidRDefault="008F6865" w:rsidP="0055398D">
      <w:pPr>
        <w:spacing w:after="0" w:line="240" w:lineRule="auto"/>
        <w:rPr>
          <w:rFonts w:ascii="Arial" w:hAnsi="Arial" w:cs="Arial"/>
        </w:rPr>
      </w:pPr>
    </w:p>
    <w:p w:rsidR="008F6865" w:rsidRPr="008F6865" w:rsidRDefault="008F6865" w:rsidP="0055398D">
      <w:pPr>
        <w:autoSpaceDE w:val="0"/>
        <w:autoSpaceDN w:val="0"/>
        <w:adjustRightInd w:val="0"/>
        <w:spacing w:after="0" w:line="240" w:lineRule="auto"/>
        <w:rPr>
          <w:rFonts w:ascii="Arial" w:hAnsi="Arial" w:cs="Arial"/>
          <w:b/>
          <w:bCs/>
          <w:color w:val="000000"/>
        </w:rPr>
      </w:pPr>
      <w:r w:rsidRPr="008F6865">
        <w:rPr>
          <w:rFonts w:ascii="Arial" w:hAnsi="Arial" w:cs="Arial"/>
          <w:b/>
          <w:bCs/>
          <w:color w:val="000000"/>
        </w:rPr>
        <w:t>E02 - Estimates of Aboriginal and Torres Strait Islander Australians, 2011</w:t>
      </w:r>
    </w:p>
    <w:p w:rsidR="008F6865" w:rsidRPr="008F6865" w:rsidRDefault="008F6865" w:rsidP="0055398D">
      <w:pPr>
        <w:autoSpaceDE w:val="0"/>
        <w:autoSpaceDN w:val="0"/>
        <w:adjustRightInd w:val="0"/>
        <w:spacing w:after="0" w:line="240" w:lineRule="auto"/>
        <w:rPr>
          <w:rFonts w:ascii="Arial" w:hAnsi="Arial" w:cs="Arial"/>
          <w:b/>
          <w:bCs/>
          <w:color w:val="000000"/>
        </w:rPr>
      </w:pPr>
    </w:p>
    <w:p w:rsidR="00BC2D83" w:rsidRDefault="00BC2D83" w:rsidP="00BC2D83">
      <w:pPr>
        <w:pStyle w:val="Default"/>
        <w:rPr>
          <w:sz w:val="22"/>
          <w:szCs w:val="22"/>
        </w:rPr>
      </w:pPr>
      <w:r w:rsidRPr="008F6865">
        <w:rPr>
          <w:sz w:val="22"/>
          <w:szCs w:val="22"/>
        </w:rPr>
        <w:t xml:space="preserve">The concept of </w:t>
      </w:r>
      <w:r>
        <w:rPr>
          <w:sz w:val="22"/>
          <w:szCs w:val="22"/>
        </w:rPr>
        <w:t xml:space="preserve">ERP </w:t>
      </w:r>
      <w:r w:rsidRPr="008F6865">
        <w:rPr>
          <w:sz w:val="22"/>
          <w:szCs w:val="22"/>
        </w:rPr>
        <w:t xml:space="preserve">links people to a place of usual residence within Australia. Usual residence </w:t>
      </w:r>
      <w:r>
        <w:rPr>
          <w:sz w:val="22"/>
          <w:szCs w:val="22"/>
        </w:rPr>
        <w:t xml:space="preserve">in a census year </w:t>
      </w:r>
      <w:r w:rsidRPr="008F6865">
        <w:rPr>
          <w:sz w:val="22"/>
          <w:szCs w:val="22"/>
        </w:rPr>
        <w:t xml:space="preserve">is that place where each person has lived or intends to live for six months or more </w:t>
      </w:r>
      <w:r>
        <w:rPr>
          <w:sz w:val="22"/>
          <w:szCs w:val="22"/>
        </w:rPr>
        <w:t>in that year</w:t>
      </w:r>
      <w:r w:rsidRPr="008F6865">
        <w:rPr>
          <w:sz w:val="22"/>
          <w:szCs w:val="22"/>
        </w:rPr>
        <w:t>. ERP refers to all people, regardless of nationality or citizenship, who usually live in Australia, with the exception of foreign diplomatic personnel and their families. It includes usual residents who are overseas for less than 12 months</w:t>
      </w:r>
      <w:r>
        <w:rPr>
          <w:sz w:val="22"/>
          <w:szCs w:val="22"/>
        </w:rPr>
        <w:t xml:space="preserve"> and </w:t>
      </w:r>
      <w:r w:rsidRPr="008F6865">
        <w:rPr>
          <w:sz w:val="22"/>
          <w:szCs w:val="22"/>
        </w:rPr>
        <w:t xml:space="preserve">excludes overseas visitors who are in Australia for less than 12 months. </w:t>
      </w:r>
    </w:p>
    <w:p w:rsidR="00BC2D83" w:rsidRPr="00BC2D83" w:rsidRDefault="00BC2D83" w:rsidP="00BC2D83">
      <w:pPr>
        <w:pStyle w:val="Default"/>
        <w:rPr>
          <w:sz w:val="22"/>
          <w:szCs w:val="22"/>
        </w:rPr>
      </w:pPr>
    </w:p>
    <w:p w:rsidR="00BC2D83" w:rsidRPr="00BC2D83" w:rsidRDefault="00BC2D83" w:rsidP="00BC2D83">
      <w:pPr>
        <w:autoSpaceDE w:val="0"/>
        <w:autoSpaceDN w:val="0"/>
        <w:adjustRightInd w:val="0"/>
        <w:spacing w:after="0" w:line="240" w:lineRule="auto"/>
        <w:rPr>
          <w:rFonts w:ascii="Arial" w:hAnsi="Arial" w:cs="Arial"/>
        </w:rPr>
      </w:pPr>
      <w:r w:rsidRPr="00BC2D83">
        <w:rPr>
          <w:rFonts w:ascii="Arial" w:hAnsi="Arial" w:cs="Arial"/>
          <w:color w:val="000000"/>
        </w:rPr>
        <w:t>Estimates of the resident Aboriginal and Torres Strait Islander and non-Indigenous populations are based on census counts by Statistical Area Level 2 of usual residence, with pro rata adjustments made for persons whose Indigenous status was not stated, and allowance made for net census undercount.</w:t>
      </w:r>
      <w:r>
        <w:rPr>
          <w:rFonts w:ascii="Arial" w:hAnsi="Arial" w:cs="Arial"/>
          <w:color w:val="000000"/>
        </w:rPr>
        <w:t xml:space="preserve"> </w:t>
      </w:r>
      <w:r w:rsidRPr="00BC2D83">
        <w:rPr>
          <w:rFonts w:ascii="Arial" w:hAnsi="Arial" w:cs="Arial"/>
        </w:rPr>
        <w:t xml:space="preserve">As the </w:t>
      </w:r>
      <w:r>
        <w:rPr>
          <w:rFonts w:ascii="Arial" w:hAnsi="Arial" w:cs="Arial"/>
        </w:rPr>
        <w:t xml:space="preserve">2011 </w:t>
      </w:r>
      <w:r w:rsidRPr="00BC2D83">
        <w:rPr>
          <w:rFonts w:ascii="Arial" w:hAnsi="Arial" w:cs="Arial"/>
        </w:rPr>
        <w:t xml:space="preserve">census </w:t>
      </w:r>
      <w:r>
        <w:rPr>
          <w:rFonts w:ascii="Arial" w:hAnsi="Arial" w:cs="Arial"/>
        </w:rPr>
        <w:t xml:space="preserve">was </w:t>
      </w:r>
      <w:r w:rsidRPr="00BC2D83">
        <w:rPr>
          <w:rFonts w:ascii="Arial" w:hAnsi="Arial" w:cs="Arial"/>
        </w:rPr>
        <w:t xml:space="preserve">not held on 30 June, further calculations taking into account births, deaths and net migration for the intervening period </w:t>
      </w:r>
      <w:r>
        <w:rPr>
          <w:rFonts w:ascii="Arial" w:hAnsi="Arial" w:cs="Arial"/>
        </w:rPr>
        <w:t>we</w:t>
      </w:r>
      <w:r w:rsidRPr="00BC2D83">
        <w:rPr>
          <w:rFonts w:ascii="Arial" w:hAnsi="Arial" w:cs="Arial"/>
        </w:rPr>
        <w:t xml:space="preserve">re performed to obtain ERP at 30 June. </w:t>
      </w:r>
    </w:p>
    <w:p w:rsidR="009E2041" w:rsidRDefault="009E2041" w:rsidP="0055398D">
      <w:pPr>
        <w:autoSpaceDE w:val="0"/>
        <w:autoSpaceDN w:val="0"/>
        <w:adjustRightInd w:val="0"/>
        <w:spacing w:after="0" w:line="240" w:lineRule="auto"/>
        <w:rPr>
          <w:rFonts w:ascii="Arial" w:hAnsi="Arial" w:cs="Arial"/>
          <w:color w:val="000000"/>
        </w:rPr>
      </w:pPr>
    </w:p>
    <w:p w:rsidR="009E2041" w:rsidRPr="0060722A" w:rsidRDefault="0060722A" w:rsidP="0055398D">
      <w:pPr>
        <w:autoSpaceDE w:val="0"/>
        <w:autoSpaceDN w:val="0"/>
        <w:adjustRightInd w:val="0"/>
        <w:spacing w:after="0" w:line="240" w:lineRule="auto"/>
        <w:rPr>
          <w:rFonts w:ascii="Arial" w:hAnsi="Arial" w:cs="Arial"/>
          <w:color w:val="FF0000"/>
        </w:rPr>
      </w:pPr>
      <w:r w:rsidRPr="00C54C51">
        <w:rPr>
          <w:rFonts w:ascii="Arial" w:hAnsi="Arial" w:cs="Arial"/>
        </w:rPr>
        <w:t>Where the number of people represented in a given cell is small enough to allow individuals to be identified, estimates are not published. For this reason, e</w:t>
      </w:r>
      <w:r w:rsidR="009E2041" w:rsidRPr="00C54C51">
        <w:rPr>
          <w:rFonts w:ascii="Arial" w:hAnsi="Arial" w:cs="Arial"/>
        </w:rPr>
        <w:t xml:space="preserve">stimates </w:t>
      </w:r>
      <w:r w:rsidRPr="00C54C51">
        <w:rPr>
          <w:rFonts w:ascii="Arial" w:hAnsi="Arial" w:cs="Arial"/>
        </w:rPr>
        <w:t>of the Aboriginal and Torres Strait Islander population in</w:t>
      </w:r>
      <w:r w:rsidR="009E2041" w:rsidRPr="00C54C51">
        <w:rPr>
          <w:rFonts w:ascii="Arial" w:hAnsi="Arial" w:cs="Arial"/>
        </w:rPr>
        <w:t xml:space="preserve"> ‘Other Territories’ are not released</w:t>
      </w:r>
      <w:r w:rsidRPr="00C54C51">
        <w:rPr>
          <w:rFonts w:ascii="Arial" w:hAnsi="Arial" w:cs="Arial"/>
        </w:rPr>
        <w:t xml:space="preserve">. Some Statistical Area Level 2 data </w:t>
      </w:r>
      <w:r w:rsidR="00BC2D83">
        <w:rPr>
          <w:rFonts w:ascii="Arial" w:hAnsi="Arial" w:cs="Arial"/>
        </w:rPr>
        <w:t>are</w:t>
      </w:r>
      <w:r w:rsidR="00C54C51" w:rsidRPr="00C54C51">
        <w:rPr>
          <w:rFonts w:ascii="Arial" w:hAnsi="Arial" w:cs="Arial"/>
        </w:rPr>
        <w:t xml:space="preserve"> also excluded from this </w:t>
      </w:r>
      <w:proofErr w:type="spellStart"/>
      <w:r w:rsidR="00C54C51" w:rsidRPr="00C54C51">
        <w:rPr>
          <w:rFonts w:ascii="Arial" w:hAnsi="Arial" w:cs="Arial"/>
        </w:rPr>
        <w:t>DataP</w:t>
      </w:r>
      <w:r w:rsidRPr="00C54C51">
        <w:rPr>
          <w:rFonts w:ascii="Arial" w:hAnsi="Arial" w:cs="Arial"/>
        </w:rPr>
        <w:t>ack</w:t>
      </w:r>
      <w:proofErr w:type="spellEnd"/>
      <w:r w:rsidRPr="00C54C51">
        <w:rPr>
          <w:rFonts w:ascii="Arial" w:hAnsi="Arial" w:cs="Arial"/>
        </w:rPr>
        <w:t xml:space="preserve"> for this reason. </w:t>
      </w:r>
    </w:p>
    <w:p w:rsidR="008F6865" w:rsidRPr="008F6865" w:rsidRDefault="008F6865" w:rsidP="0055398D">
      <w:pPr>
        <w:spacing w:after="0" w:line="240" w:lineRule="auto"/>
        <w:rPr>
          <w:rFonts w:ascii="Arial" w:hAnsi="Arial" w:cs="Arial"/>
          <w:color w:val="000000"/>
        </w:rPr>
      </w:pPr>
    </w:p>
    <w:p w:rsidR="008F6865" w:rsidRPr="008F6865" w:rsidRDefault="008F6865" w:rsidP="0055398D">
      <w:pPr>
        <w:spacing w:after="0" w:line="240" w:lineRule="auto"/>
        <w:rPr>
          <w:rFonts w:ascii="Arial" w:hAnsi="Arial" w:cs="Arial"/>
        </w:rPr>
      </w:pPr>
      <w:r w:rsidRPr="008F6865">
        <w:rPr>
          <w:rFonts w:ascii="Arial" w:hAnsi="Arial" w:cs="Arial"/>
          <w:color w:val="000000"/>
        </w:rPr>
        <w:t xml:space="preserve">For more information see the technical note in </w:t>
      </w:r>
      <w:r w:rsidRPr="008F6865">
        <w:rPr>
          <w:rFonts w:ascii="Arial" w:hAnsi="Arial" w:cs="Arial"/>
          <w:i/>
          <w:iCs/>
          <w:color w:val="000000"/>
        </w:rPr>
        <w:t xml:space="preserve">Estimates of Aboriginal and Torres Strait Islander </w:t>
      </w:r>
      <w:r w:rsidRPr="008F6865">
        <w:rPr>
          <w:rFonts w:ascii="Arial" w:hAnsi="Arial" w:cs="Arial"/>
          <w:color w:val="000000"/>
        </w:rPr>
        <w:t>(ABS cat.</w:t>
      </w:r>
      <w:r w:rsidR="008F20BD">
        <w:rPr>
          <w:rFonts w:ascii="Arial" w:hAnsi="Arial" w:cs="Arial"/>
          <w:color w:val="000000"/>
        </w:rPr>
        <w:t xml:space="preserve"> no.</w:t>
      </w:r>
      <w:r w:rsidRPr="008F6865">
        <w:rPr>
          <w:rFonts w:ascii="Arial" w:hAnsi="Arial" w:cs="Arial"/>
          <w:color w:val="000000"/>
        </w:rPr>
        <w:t xml:space="preserve"> 3238.0.55.001) on the ABS web site </w:t>
      </w:r>
      <w:bookmarkStart w:id="0" w:name="_GoBack"/>
      <w:bookmarkEnd w:id="0"/>
      <w:r w:rsidRPr="008F20BD">
        <w:rPr>
          <w:rFonts w:ascii="Arial" w:hAnsi="Arial" w:cs="Arial"/>
          <w:color w:val="000000"/>
        </w:rPr>
        <w:t>&lt;</w:t>
      </w:r>
      <w:hyperlink r:id="rId6" w:history="1">
        <w:r w:rsidR="00672164" w:rsidRPr="00FA5A74">
          <w:rPr>
            <w:rStyle w:val="Hyperlink"/>
            <w:rFonts w:ascii="Arial" w:hAnsi="Arial" w:cs="Arial"/>
          </w:rPr>
          <w:t>http://www.abs.gov.au</w:t>
        </w:r>
      </w:hyperlink>
      <w:r w:rsidRPr="008F20BD">
        <w:rPr>
          <w:rFonts w:ascii="Arial" w:hAnsi="Arial" w:cs="Arial"/>
          <w:bCs/>
          <w:color w:val="000000"/>
        </w:rPr>
        <w:t>&gt;</w:t>
      </w:r>
      <w:r w:rsidRPr="008F20BD">
        <w:rPr>
          <w:rFonts w:ascii="Arial" w:hAnsi="Arial" w:cs="Arial"/>
          <w:color w:val="000000"/>
        </w:rPr>
        <w:t>.</w:t>
      </w:r>
    </w:p>
    <w:sectPr w:rsidR="008F6865" w:rsidRPr="008F68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865"/>
    <w:rsid w:val="001C0400"/>
    <w:rsid w:val="003C2062"/>
    <w:rsid w:val="0055398D"/>
    <w:rsid w:val="0060722A"/>
    <w:rsid w:val="00625E04"/>
    <w:rsid w:val="0065567F"/>
    <w:rsid w:val="00672164"/>
    <w:rsid w:val="0068132C"/>
    <w:rsid w:val="007D505D"/>
    <w:rsid w:val="008F20BD"/>
    <w:rsid w:val="008F6865"/>
    <w:rsid w:val="009E2041"/>
    <w:rsid w:val="00BC2D83"/>
    <w:rsid w:val="00C54C51"/>
    <w:rsid w:val="00CB3A0A"/>
    <w:rsid w:val="00D930EF"/>
    <w:rsid w:val="00F86ECF"/>
    <w:rsid w:val="00FA5A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686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721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6865"/>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721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bs.gov.au/" TargetMode="External"/><Relationship Id="rId5" Type="http://schemas.openxmlformats.org/officeDocument/2006/relationships/hyperlink" Target="http://www.abs.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Nugent</dc:creator>
  <cp:lastModifiedBy>Tricia Dyson</cp:lastModifiedBy>
  <cp:revision>5</cp:revision>
  <dcterms:created xsi:type="dcterms:W3CDTF">2013-09-10T00:12:00Z</dcterms:created>
  <dcterms:modified xsi:type="dcterms:W3CDTF">2013-09-10T02:10:00Z</dcterms:modified>
</cp:coreProperties>
</file>